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formal ontology is about “being”. It describes classes of individual items, properties and logical rules constraining their combinations that approximate at a categorical level how we perceive that certain things and phenomena of reality are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our descriptions of it. It describes “possible states of affairs”.  We require that these concepts are not only conventions between humans, but also sufficiently close to reality so that valid deductions about reality can be drawn from the ontology and  instances of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obtained under theoretical, perfect conditions of observation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deviations in precision and coverage (i.e. wrt exceptions) of the ontology from reality as an idealized, logical approximation should be understood and tolerable for the purpose of the respective research. Only things and phenomena of reality that behave close enough to the logical form of a formal ontology can </w:t>
      </w:r>
      <w:r w:rsidDel="00000000" w:rsidR="00000000" w:rsidRPr="00000000">
        <w:rPr>
          <w:rFonts w:ascii="Calibri" w:cs="Calibri" w:eastAsia="Calibri" w:hAnsi="Calibri"/>
          <w:rtl w:val="0"/>
        </w:rPr>
        <w:t xml:space="preserve">usefully be described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regard knowledge as justified beliefs of propositions X of a form that make sense 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know that X holds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Besides defining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proposition X as an expression of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human stating “I know that X holds” must be able to relate all classes, properties and identifiers (names) in such an expression with situations and individual things of the real world. Therefore only humans have knowledge.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knowledge base in the sense of the CRM is an information object that instantiates the formal ontology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propositions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 maintainer of the knowledge base believes, i.e., regards it as “the best of my knowledge”. There are subtle, but substantial differences between registered knowledge and reality, because it includes contradictions, alternatives and uncertainties. The maintainer of the knowledge base may be an individual person or a team, trusting each other and sharing the same contextual knowledge of the world (see Doerr, Meghini &amp; Spyratos 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maintainer of the knowledge base is its ultimate provenance, providing (or not) trust in the care and honesty of the described propositions. The maintainer should not appear in the knowledge base as propositions of provenance, but be described as metadata about the knowledge base as a whole, exactly as we do not repeat the author of a book in each phrase.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knowledge may be direct or indirect: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 knowledge is that believed out of good, explicable reasons of observation or inferencing by the maintainers themselves.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Indirect knowledge is that that the maintainer adopts or refers to from other sources. In that case, the formal knowledge of the maintainer is restricted to the information as a formal expression and its provenance. The maintainer may or may not </w:t>
      </w:r>
      <w:r w:rsidDel="00000000" w:rsidR="00000000" w:rsidRPr="00000000">
        <w:rPr>
          <w:rFonts w:ascii="Calibri" w:cs="Calibri" w:eastAsia="Calibri" w:hAnsi="Calibri"/>
          <w:rtl w:val="0"/>
        </w:rPr>
        <w:t xml:space="preserve">believe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information. Therefore, the knowledge base should contain the adequate propositions about its provenance (believed by the maintainer)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should be possible to communicate with the maintainer and discuss justifications and possible corrections of errors.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Ideally, the source of indirect knowledge should contain further provenance statements about indirect knowledge its author has used. The ideal would </w:t>
      </w:r>
      <w:r w:rsidDel="00000000" w:rsidR="00000000" w:rsidRPr="00000000">
        <w:rPr>
          <w:rFonts w:ascii="Calibri" w:cs="Calibri" w:eastAsia="Calibri" w:hAnsi="Calibri"/>
          <w:rtl w:val="0"/>
        </w:rPr>
        <w:t xml:space="preserve">be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link all those provenance statements together until they direct us to all direct knowledge used. This is, of course, impossible, but nevertheless we have the means to document, increase and link our provenance knowledge to larger and larger chains, which will be extremely useful for validating and improving our overall knowledge.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maintainer of a knowledge base may decide to document provenance of provenance, if there is no reliable digital resource to link to the next statement in the provenance chain, or if a local copy of parts of the provenance chain appears to be useful.</w:t>
      </w:r>
    </w:p>
    <w:sectPr>
      <w:headerReference r:id="rId6" w:type="default"/>
      <w:footerReference r:id="rId7"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